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C8906" w14:textId="4D47723D" w:rsidR="00E76E85" w:rsidRPr="006E4727" w:rsidRDefault="00E76E85" w:rsidP="00E76E8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E47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Інформація про </w:t>
      </w:r>
      <w:r w:rsidR="00461079" w:rsidRPr="006E47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юридичну особу</w:t>
      </w:r>
      <w:r w:rsidRPr="006E47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E47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6E47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ТОВ «КАЧАЙ ГРОШІ»</w:t>
      </w:r>
    </w:p>
    <w:p w14:paraId="50CB5062" w14:textId="77777777" w:rsidR="00E76E85" w:rsidRPr="006E4727" w:rsidRDefault="00E76E8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A675566" w14:textId="780094DB" w:rsidR="003177AE" w:rsidRPr="006E4727" w:rsidRDefault="00E76E85" w:rsidP="006E4CA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>Повне найменування фінансової установи:</w:t>
      </w:r>
      <w:r w:rsidR="006E4CAF"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ТОВАРИСТВО З ОБМЕЖЕНОЮ ВІДПОВІДАЛЬНІСТЮ “КАЧАЙ ГРОШІ”; </w:t>
      </w:r>
    </w:p>
    <w:p w14:paraId="7B403FF4" w14:textId="59BAC78E" w:rsidR="003177AE" w:rsidRPr="006E4727" w:rsidRDefault="00E76E85" w:rsidP="006E4CA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>Код за ЄДРПОУ</w:t>
      </w:r>
      <w:r w:rsidR="006E4CAF"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41697872; </w:t>
      </w:r>
    </w:p>
    <w:p w14:paraId="4BE7FB49" w14:textId="4AA7CB84" w:rsidR="003177AE" w:rsidRPr="006E4727" w:rsidRDefault="00E76E85" w:rsidP="006E4CAF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Місцезнаходження: 03150, м. Київ, вулиця Казимира Малевича, буд.86 И. Код території за КОАТУУ 8036100000. </w:t>
      </w:r>
    </w:p>
    <w:p w14:paraId="6026072C" w14:textId="77777777" w:rsidR="006E4CAF" w:rsidRPr="006E4727" w:rsidRDefault="006E4CAF" w:rsidP="006E4CAF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D56ABE8" w14:textId="77777777" w:rsidR="006E4CAF" w:rsidRPr="006E4727" w:rsidRDefault="00E76E85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Відомості про державну реєстрацію </w:t>
      </w:r>
      <w:r w:rsidR="006E4CAF"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юридичної </w:t>
      </w:r>
      <w:r w:rsidRPr="006E4727">
        <w:rPr>
          <w:rFonts w:ascii="Times New Roman" w:hAnsi="Times New Roman" w:cs="Times New Roman"/>
          <w:color w:val="000000"/>
          <w:shd w:val="clear" w:color="auto" w:fill="FFFFFF"/>
        </w:rPr>
        <w:t>особи:</w:t>
      </w:r>
      <w:r w:rsidR="006E4CAF"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30311D69" w14:textId="0AAEC20A" w:rsidR="003177AE" w:rsidRPr="006E4727" w:rsidRDefault="00E76E8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Дата запису: 01.11.2017р., номер запису: 10741020000070728. </w:t>
      </w:r>
    </w:p>
    <w:p w14:paraId="23FA1287" w14:textId="77777777" w:rsidR="003177AE" w:rsidRPr="006E4727" w:rsidRDefault="00E76E85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>Відомості про власників істотної участі</w:t>
      </w:r>
      <w:r w:rsidR="003177AE"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</w:p>
    <w:p w14:paraId="27E7A2A7" w14:textId="77777777" w:rsidR="003177AE" w:rsidRPr="006E4727" w:rsidRDefault="00E76E8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АКЦІОНЕРНЕ ТОВАРИСТВО «ЗАКРИТИЙ НЕДИВЕРСИФІКОВАНИЙ ВЕНЧУРНИЙ КОРПОРАТИВНИЙ ІНВЕСТИЦІЙНИЙ ФОНД «КАНБЕРРА», код за ЄДРПОУ 44021229, місцезнаходження: Україна, 01024, м. Київ, вул. Богомольця Академіка, буд. 7/14, приміщення 182 кімната 3, що володіє часткою у розмірі 100% у статутному капіталі фінансової установи. </w:t>
      </w:r>
    </w:p>
    <w:p w14:paraId="7055407D" w14:textId="77777777" w:rsidR="006E4CAF" w:rsidRDefault="00E76E85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Відомості про виконавчий орган: </w:t>
      </w:r>
    </w:p>
    <w:p w14:paraId="4B7D6E1B" w14:textId="77777777" w:rsidR="006E4CAF" w:rsidRDefault="00E76E8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З </w:t>
      </w:r>
      <w:r w:rsidR="003177AE" w:rsidRPr="006E4CAF">
        <w:rPr>
          <w:rFonts w:ascii="Times New Roman" w:hAnsi="Times New Roman" w:cs="Times New Roman"/>
          <w:color w:val="000000"/>
          <w:shd w:val="clear" w:color="auto" w:fill="FFFFFF"/>
        </w:rPr>
        <w:t>07</w:t>
      </w:r>
      <w:r w:rsidRPr="006E4CAF">
        <w:rPr>
          <w:rFonts w:ascii="Times New Roman" w:hAnsi="Times New Roman" w:cs="Times New Roman"/>
          <w:color w:val="000000"/>
          <w:shd w:val="clear" w:color="auto" w:fill="FFFFFF"/>
        </w:rPr>
        <w:t>.06.202</w:t>
      </w:r>
      <w:r w:rsidR="003177AE" w:rsidRPr="006E4CAF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р.: директор </w:t>
      </w:r>
      <w:r w:rsidR="003177AE" w:rsidRPr="006E4CAF">
        <w:rPr>
          <w:rFonts w:ascii="Times New Roman" w:hAnsi="Times New Roman" w:cs="Times New Roman"/>
          <w:color w:val="000000"/>
          <w:shd w:val="clear" w:color="auto" w:fill="FFFFFF"/>
        </w:rPr>
        <w:t>Ємельяненко Оксана</w:t>
      </w: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E4CAF">
        <w:rPr>
          <w:rFonts w:ascii="Times New Roman" w:hAnsi="Times New Roman" w:cs="Times New Roman"/>
          <w:color w:val="000000"/>
          <w:shd w:val="clear" w:color="auto" w:fill="FFFFFF"/>
        </w:rPr>
        <w:t>Вікторівна</w:t>
      </w:r>
    </w:p>
    <w:p w14:paraId="590B4BB9" w14:textId="71B3388B" w:rsidR="006E4CAF" w:rsidRDefault="00000000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6" w:history="1">
        <w:r w:rsidR="00E76E85" w:rsidRPr="004278A0">
          <w:rPr>
            <w:rStyle w:val="ae"/>
            <w:rFonts w:ascii="Times New Roman" w:hAnsi="Times New Roman" w:cs="Times New Roman"/>
            <w:shd w:val="clear" w:color="auto" w:fill="FFFFFF"/>
          </w:rPr>
          <w:t>Інформація про структуру власності</w:t>
        </w:r>
      </w:hyperlink>
    </w:p>
    <w:p w14:paraId="41A072FE" w14:textId="6B68A2FA" w:rsidR="006E4CAF" w:rsidRDefault="00E76E85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Річна фінансова звітність: </w:t>
      </w:r>
    </w:p>
    <w:p w14:paraId="13085E60" w14:textId="47B3306B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7" w:history="1">
        <w:r w:rsidR="000E070E" w:rsidRPr="00483F1A">
          <w:rPr>
            <w:rStyle w:val="ae"/>
            <w:rFonts w:ascii="Times New Roman" w:hAnsi="Times New Roman" w:cs="Times New Roman"/>
            <w:shd w:val="clear" w:color="auto" w:fill="FFFFFF"/>
          </w:rPr>
          <w:t>А</w:t>
        </w:r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удиторський висновок (Звіт незалежного аудитора) станом на 31.12.2017 року;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3C915ED2" w14:textId="5D59894F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8" w:history="1">
        <w:r w:rsidR="000E070E" w:rsidRPr="00483F1A">
          <w:rPr>
            <w:rStyle w:val="ae"/>
            <w:rFonts w:ascii="Times New Roman" w:hAnsi="Times New Roman" w:cs="Times New Roman"/>
            <w:shd w:val="clear" w:color="auto" w:fill="FFFFFF"/>
          </w:rPr>
          <w:t>А</w:t>
        </w:r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удиторський висновок (Звіт незалежного аудитора) станом на 31.12.2018 року;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117E748D" w14:textId="67892F51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9" w:history="1">
        <w:r w:rsidR="000E070E" w:rsidRPr="00483F1A">
          <w:rPr>
            <w:rStyle w:val="ae"/>
            <w:rFonts w:ascii="Times New Roman" w:hAnsi="Times New Roman" w:cs="Times New Roman"/>
            <w:shd w:val="clear" w:color="auto" w:fill="FFFFFF"/>
          </w:rPr>
          <w:t>А</w:t>
        </w:r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удиторський висновок (Звіт незалежного аудитора) станом на 31.12.2019 року;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204C9766" w14:textId="6A9A2CF5" w:rsidR="006E4CAF" w:rsidRDefault="000E070E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віт про фінансову компанію станом на 31.12.2019 року. </w:t>
      </w:r>
    </w:p>
    <w:p w14:paraId="2FACC769" w14:textId="03180A48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10" w:history="1"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Аудиторський звіт про діяльність компанії за 2020 р.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28855DE3" w14:textId="33BB81A5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11" w:history="1"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Річна інформація емітента за 2021 р.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14C382F1" w14:textId="3DEC4103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12" w:history="1"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Аудиторський звіт Качай Гроші за 2021р.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5C0BCB92" w14:textId="3DB61787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13" w:history="1"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Аудиторський звіт ТОВ Качай Гроші за 2022 рік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0D08243C" w14:textId="60DF7BC4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14" w:history="1"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Річна інформація емітента за 2022 рік.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5D008605" w14:textId="687C7632" w:rsidR="000507C1" w:rsidRPr="000507C1" w:rsidRDefault="000507C1" w:rsidP="006E4CAF">
      <w:pPr>
        <w:spacing w:after="60"/>
        <w:rPr>
          <w:rStyle w:val="ae"/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fldChar w:fldCharType="begin"/>
      </w:r>
      <w:r>
        <w:rPr>
          <w:rFonts w:ascii="Times New Roman" w:hAnsi="Times New Roman" w:cs="Times New Roman"/>
          <w:shd w:val="clear" w:color="auto" w:fill="FFFFFF"/>
        </w:rPr>
        <w:instrText>HYPERLINK "http://kachay.com.ua/wp-content/uploads/2024/09/richna-informacziya-emitenta-za-2023-rik.pdf"</w:instrTex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  <w:fldChar w:fldCharType="separate"/>
      </w:r>
      <w:r w:rsidRPr="000507C1">
        <w:rPr>
          <w:rStyle w:val="ae"/>
          <w:rFonts w:ascii="Times New Roman" w:hAnsi="Times New Roman" w:cs="Times New Roman"/>
          <w:shd w:val="clear" w:color="auto" w:fill="FFFFFF"/>
        </w:rPr>
        <w:t>Річна інформація емітента за 202</w:t>
      </w:r>
      <w:r>
        <w:rPr>
          <w:rStyle w:val="ae"/>
          <w:rFonts w:ascii="Times New Roman" w:hAnsi="Times New Roman" w:cs="Times New Roman"/>
          <w:shd w:val="clear" w:color="auto" w:fill="FFFFFF"/>
        </w:rPr>
        <w:t>3</w:t>
      </w:r>
      <w:r w:rsidRPr="000507C1">
        <w:rPr>
          <w:rStyle w:val="ae"/>
          <w:rFonts w:ascii="Times New Roman" w:hAnsi="Times New Roman" w:cs="Times New Roman"/>
          <w:shd w:val="clear" w:color="auto" w:fill="FFFFFF"/>
        </w:rPr>
        <w:t xml:space="preserve"> рік.</w:t>
      </w:r>
    </w:p>
    <w:p w14:paraId="43314BDF" w14:textId="69FF8959" w:rsidR="006E4CAF" w:rsidRDefault="000507C1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fldChar w:fldCharType="end"/>
      </w:r>
      <w:hyperlink r:id="rId15" w:history="1"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Звіт незалежного аудитора ТОВ КАЧАЙ ГРОШІ за 2023р.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2823A23C" w14:textId="77777777" w:rsidR="006E4CAF" w:rsidRDefault="00E76E8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Відомості про порушення провадження у справі про банкрутство, застосування процедури санації: провадження у справі про банкрутство </w:t>
      </w:r>
      <w:r w:rsidR="006E4CAF">
        <w:rPr>
          <w:rFonts w:ascii="Times New Roman" w:hAnsi="Times New Roman" w:cs="Times New Roman"/>
          <w:color w:val="000000"/>
          <w:shd w:val="clear" w:color="auto" w:fill="FFFFFF"/>
        </w:rPr>
        <w:t xml:space="preserve">юридичної особи </w:t>
      </w: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не порушувалися, процедури санації не відкривалися та не застосовувалися; </w:t>
      </w:r>
    </w:p>
    <w:p w14:paraId="5ABB2BBB" w14:textId="77777777" w:rsidR="006E4CAF" w:rsidRDefault="00E76E8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Рішення про ліквідацію </w:t>
      </w:r>
      <w:r w:rsidR="006E4CAF">
        <w:rPr>
          <w:rFonts w:ascii="Times New Roman" w:hAnsi="Times New Roman" w:cs="Times New Roman"/>
          <w:color w:val="000000"/>
          <w:shd w:val="clear" w:color="auto" w:fill="FFFFFF"/>
        </w:rPr>
        <w:t xml:space="preserve">юридичної особи </w:t>
      </w: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не приймалися. </w:t>
      </w:r>
    </w:p>
    <w:sectPr w:rsidR="006E4CAF" w:rsidSect="006E4CAF">
      <w:pgSz w:w="11906" w:h="16838"/>
      <w:pgMar w:top="567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32312"/>
    <w:multiLevelType w:val="hybridMultilevel"/>
    <w:tmpl w:val="4A0E63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82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85"/>
    <w:rsid w:val="000507C1"/>
    <w:rsid w:val="000E070E"/>
    <w:rsid w:val="000F029E"/>
    <w:rsid w:val="001125CA"/>
    <w:rsid w:val="003177AE"/>
    <w:rsid w:val="004278A0"/>
    <w:rsid w:val="00461079"/>
    <w:rsid w:val="00483F1A"/>
    <w:rsid w:val="006B487C"/>
    <w:rsid w:val="006E4727"/>
    <w:rsid w:val="006E4CAF"/>
    <w:rsid w:val="007D0E8F"/>
    <w:rsid w:val="00856DEF"/>
    <w:rsid w:val="00970E2D"/>
    <w:rsid w:val="00BA6029"/>
    <w:rsid w:val="00DA3389"/>
    <w:rsid w:val="00E13872"/>
    <w:rsid w:val="00E76E85"/>
    <w:rsid w:val="00EB31DE"/>
    <w:rsid w:val="00F06666"/>
    <w:rsid w:val="00F9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08E0"/>
  <w15:chartTrackingRefBased/>
  <w15:docId w15:val="{8AFFAF43-B9B6-4768-9BC3-F6A26454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6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6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6E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6E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6E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6E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6E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6E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6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76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76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76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E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76E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6E85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76E85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6B487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6B487C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6B48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487C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6B487C"/>
    <w:rPr>
      <w:b/>
      <w:bCs/>
      <w:sz w:val="20"/>
      <w:szCs w:val="20"/>
    </w:rPr>
  </w:style>
  <w:style w:type="character" w:styleId="af4">
    <w:name w:val="Unresolved Mention"/>
    <w:basedOn w:val="a0"/>
    <w:uiPriority w:val="99"/>
    <w:semiHidden/>
    <w:unhideWhenUsed/>
    <w:rsid w:val="00483F1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83F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chay.com.ua/wp-content/uploads/2024/09/audit2018.pdf" TargetMode="External"/><Relationship Id="rId13" Type="http://schemas.openxmlformats.org/officeDocument/2006/relationships/hyperlink" Target="http://kachay.com.ua/wp-content/uploads/2024/09/audytors&#697;kyy_zvit_tov_kachay_hroshi_za_2022_rik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kachay.com.ua/wp-content/uploads/2024/09/audit2017.pdf" TargetMode="External"/><Relationship Id="rId12" Type="http://schemas.openxmlformats.org/officeDocument/2006/relationships/hyperlink" Target="http://kachay.com.ua/wp-content/uploads/2024/09/audytorskyj-zvit-kachaj-groshi-za-2021r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achay.com.ua/wp-content/uploads/2024/09/shematychne_zobrazhennya_struktury_vlasnosti_stanom_na_21_01_2024_.pdf" TargetMode="External"/><Relationship Id="rId11" Type="http://schemas.openxmlformats.org/officeDocument/2006/relationships/hyperlink" Target="http://kachay.com.ua/wp-content/uploads/2024/09/richna-informacziya-emitenta-za-2021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chay.com.ua/wp-content/uploads/2024/09/zvit-nezalezhnogo-audytora-tov-kachaj-groshi-za-2023r.pdf" TargetMode="External"/><Relationship Id="rId10" Type="http://schemas.openxmlformats.org/officeDocument/2006/relationships/hyperlink" Target="http://kachay.com.ua/wp-content/uploads/2024/09/audit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chay.com.ua/wp-content/uploads/2024/09/auditorskiy-otchet-2019.pdf" TargetMode="External"/><Relationship Id="rId14" Type="http://schemas.openxmlformats.org/officeDocument/2006/relationships/hyperlink" Target="http://kachay.com.ua/wp-content/uploads/2024/09/richna_informaciya_emitenta_za_2022_rik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DE6E0-859E-4A82-A3A1-6523097D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1847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Васильєва</dc:creator>
  <cp:keywords/>
  <dc:description/>
  <cp:lastModifiedBy>Den Yershov</cp:lastModifiedBy>
  <cp:revision>4</cp:revision>
  <dcterms:created xsi:type="dcterms:W3CDTF">2024-09-11T09:26:00Z</dcterms:created>
  <dcterms:modified xsi:type="dcterms:W3CDTF">2024-09-11T12:42:00Z</dcterms:modified>
</cp:coreProperties>
</file>